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A77B" w14:textId="77777777" w:rsidR="00C706F0" w:rsidRPr="00BB00A4" w:rsidRDefault="00CC79E2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PROPOSED CHANGES TO BRDT’S ARTICLES OF ASSOCIATION. </w:t>
      </w:r>
    </w:p>
    <w:p w14:paraId="5E4EEB0E" w14:textId="04C2429E" w:rsidR="00C706F0" w:rsidRPr="00BB00A4" w:rsidRDefault="00CC79E2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Proposed by: - </w:t>
      </w:r>
      <w:r w:rsidR="00334D67">
        <w:rPr>
          <w:rFonts w:asciiTheme="minorHAnsi" w:hAnsiTheme="minorHAnsi" w:cstheme="minorHAnsi"/>
          <w:b/>
          <w:szCs w:val="24"/>
        </w:rPr>
        <w:t>Teresa Donaldson</w:t>
      </w:r>
      <w:r w:rsidRPr="00BB00A4">
        <w:rPr>
          <w:rFonts w:asciiTheme="minorHAnsi" w:hAnsiTheme="minorHAnsi" w:cstheme="minorHAnsi"/>
          <w:b/>
          <w:szCs w:val="24"/>
        </w:rPr>
        <w:t>.  Seconded by: -</w:t>
      </w:r>
      <w:r w:rsidR="00BB00A4" w:rsidRPr="00BB00A4">
        <w:rPr>
          <w:rFonts w:asciiTheme="minorHAnsi" w:hAnsiTheme="minorHAnsi" w:cstheme="minorHAnsi"/>
          <w:b/>
          <w:szCs w:val="24"/>
        </w:rPr>
        <w:t xml:space="preserve"> </w:t>
      </w:r>
      <w:r w:rsidR="00334D67">
        <w:rPr>
          <w:rFonts w:asciiTheme="minorHAnsi" w:hAnsiTheme="minorHAnsi" w:cstheme="minorHAnsi"/>
          <w:b/>
          <w:szCs w:val="24"/>
        </w:rPr>
        <w:t>Linda Tait</w:t>
      </w:r>
      <w:r w:rsidRPr="00BB00A4">
        <w:rPr>
          <w:rFonts w:asciiTheme="minorHAnsi" w:hAnsiTheme="minorHAnsi" w:cstheme="minorHAnsi"/>
          <w:b/>
          <w:szCs w:val="24"/>
        </w:rPr>
        <w:t xml:space="preserve">. </w:t>
      </w:r>
    </w:p>
    <w:p w14:paraId="5848250C" w14:textId="3F6D62A4" w:rsidR="00BB00A4" w:rsidRPr="00BB00A4" w:rsidRDefault="00BB00A4">
      <w:pPr>
        <w:spacing w:after="160"/>
        <w:ind w:left="-4"/>
        <w:rPr>
          <w:rFonts w:asciiTheme="minorHAnsi" w:hAnsiTheme="minorHAnsi" w:cstheme="minorHAnsi"/>
          <w:b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CONTENTS List: align with </w:t>
      </w:r>
      <w:proofErr w:type="gramStart"/>
      <w:r w:rsidRPr="00BB00A4">
        <w:rPr>
          <w:rFonts w:asciiTheme="minorHAnsi" w:hAnsiTheme="minorHAnsi" w:cstheme="minorHAnsi"/>
          <w:b/>
          <w:szCs w:val="24"/>
        </w:rPr>
        <w:t>content</w:t>
      </w:r>
      <w:proofErr w:type="gramEnd"/>
    </w:p>
    <w:tbl>
      <w:tblPr>
        <w:tblW w:w="9681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5217"/>
        <w:gridCol w:w="1843"/>
      </w:tblGrid>
      <w:tr w:rsidR="00BB00A4" w:rsidRPr="00BB00A4" w14:paraId="0D421271" w14:textId="77777777" w:rsidTr="003073BF">
        <w:trPr>
          <w:trHeight w:hRule="exact" w:val="408"/>
        </w:trPr>
        <w:tc>
          <w:tcPr>
            <w:tcW w:w="968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E5E5E5" w:fill="E5E5E5"/>
          </w:tcPr>
          <w:p w14:paraId="7913F244" w14:textId="77777777" w:rsidR="00BB00A4" w:rsidRPr="00BB00A4" w:rsidRDefault="00BB00A4" w:rsidP="003073BF">
            <w:pPr>
              <w:spacing w:after="124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CONTENTS</w:t>
            </w:r>
          </w:p>
        </w:tc>
      </w:tr>
      <w:tr w:rsidR="00BB00A4" w:rsidRPr="00BB00A4" w14:paraId="36B92DE4" w14:textId="77777777" w:rsidTr="003073BF">
        <w:trPr>
          <w:trHeight w:hRule="exact" w:val="1200"/>
        </w:trPr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A36B8" w14:textId="77777777" w:rsidR="00BB00A4" w:rsidRPr="00BB00A4" w:rsidRDefault="00BB00A4" w:rsidP="003073BF">
            <w:pPr>
              <w:spacing w:after="930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b/>
                <w:bCs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b/>
                <w:bCs/>
                <w:szCs w:val="24"/>
              </w:rPr>
              <w:t>GENERAL</w:t>
            </w:r>
          </w:p>
        </w:tc>
        <w:tc>
          <w:tcPr>
            <w:tcW w:w="5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1F720" w14:textId="77777777" w:rsidR="00BB00A4" w:rsidRPr="00BB00A4" w:rsidRDefault="00BB00A4" w:rsidP="003073BF">
            <w:pPr>
              <w:spacing w:after="124" w:line="267" w:lineRule="exact"/>
              <w:ind w:right="324"/>
              <w:textAlignment w:val="baseline"/>
              <w:rPr>
                <w:rFonts w:asciiTheme="minorHAnsi" w:eastAsia="Verdana" w:hAnsiTheme="minorHAnsi" w:cstheme="minorHAnsi"/>
                <w:spacing w:val="-1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pacing w:val="-1"/>
                <w:szCs w:val="24"/>
              </w:rPr>
              <w:t>constitution of the company, defined terms, objects, powers, restrictions on use of assets, limit on liability, general structure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26F00" w14:textId="77777777" w:rsidR="00BB00A4" w:rsidRPr="00BB00A4" w:rsidRDefault="00BB00A4" w:rsidP="003073BF">
            <w:pPr>
              <w:spacing w:after="930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articles 1-</w:t>
            </w:r>
            <w:r w:rsidRPr="00BB00A4">
              <w:rPr>
                <w:rFonts w:asciiTheme="minorHAnsi" w:eastAsia="Verdana" w:hAnsiTheme="minorHAnsi" w:cstheme="minorHAnsi"/>
                <w:strike/>
                <w:color w:val="FF0000"/>
                <w:szCs w:val="24"/>
              </w:rPr>
              <w:t>13</w:t>
            </w:r>
            <w:r w:rsidRPr="00BB00A4">
              <w:rPr>
                <w:rFonts w:asciiTheme="minorHAnsi" w:eastAsia="Verdana" w:hAnsiTheme="minorHAnsi" w:cstheme="minorHAnsi"/>
                <w:color w:val="FF0000"/>
                <w:szCs w:val="24"/>
              </w:rPr>
              <w:t xml:space="preserve"> 12</w:t>
            </w:r>
          </w:p>
        </w:tc>
      </w:tr>
      <w:tr w:rsidR="00BB00A4" w:rsidRPr="00BB00A4" w14:paraId="59BB1243" w14:textId="77777777" w:rsidTr="003073BF">
        <w:trPr>
          <w:trHeight w:hRule="exact" w:val="1205"/>
        </w:trPr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243F7" w14:textId="77777777" w:rsidR="00BB00A4" w:rsidRPr="00BB00A4" w:rsidRDefault="00BB00A4" w:rsidP="003073BF">
            <w:pPr>
              <w:spacing w:after="921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b/>
                <w:bCs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b/>
                <w:bCs/>
                <w:szCs w:val="24"/>
              </w:rPr>
              <w:t>MEMBERS</w:t>
            </w:r>
          </w:p>
        </w:tc>
        <w:tc>
          <w:tcPr>
            <w:tcW w:w="5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64727" w14:textId="77777777" w:rsidR="00BB00A4" w:rsidRPr="00BB00A4" w:rsidRDefault="00BB00A4" w:rsidP="003073BF">
            <w:pPr>
              <w:spacing w:after="119" w:line="267" w:lineRule="exact"/>
              <w:ind w:right="72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color w:val="FF0000"/>
                <w:szCs w:val="24"/>
              </w:rPr>
              <w:t xml:space="preserve">Categories of membership, </w:t>
            </w:r>
            <w:r w:rsidRPr="00BB00A4">
              <w:rPr>
                <w:rFonts w:asciiTheme="minorHAnsi" w:eastAsia="Verdana" w:hAnsiTheme="minorHAnsi" w:cstheme="minorHAnsi"/>
                <w:szCs w:val="24"/>
              </w:rPr>
              <w:t>qualifications, application, minimum number, subscription, register, withdrawal, expulsion, termination/transfer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476B6" w14:textId="77777777" w:rsidR="00BB00A4" w:rsidRPr="00BB00A4" w:rsidRDefault="00BB00A4" w:rsidP="003073BF">
            <w:pPr>
              <w:spacing w:after="921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 xml:space="preserve">articles </w:t>
            </w:r>
            <w:r w:rsidRPr="00BB00A4">
              <w:rPr>
                <w:rFonts w:asciiTheme="minorHAnsi" w:eastAsia="Verdana" w:hAnsiTheme="minorHAnsi" w:cstheme="minorHAnsi"/>
                <w:strike/>
                <w:color w:val="FF0000"/>
                <w:szCs w:val="24"/>
              </w:rPr>
              <w:t>14</w:t>
            </w:r>
            <w:r w:rsidRPr="00BB00A4">
              <w:rPr>
                <w:rFonts w:asciiTheme="minorHAnsi" w:eastAsia="Verdana" w:hAnsiTheme="minorHAnsi" w:cstheme="minorHAnsi"/>
                <w:color w:val="FF0000"/>
                <w:szCs w:val="24"/>
              </w:rPr>
              <w:t xml:space="preserve"> 13</w:t>
            </w:r>
            <w:r w:rsidRPr="00BB00A4">
              <w:rPr>
                <w:rFonts w:asciiTheme="minorHAnsi" w:eastAsia="Verdana" w:hAnsiTheme="minorHAnsi" w:cstheme="minorHAnsi"/>
                <w:szCs w:val="24"/>
              </w:rPr>
              <w:t>-40</w:t>
            </w:r>
          </w:p>
        </w:tc>
      </w:tr>
      <w:tr w:rsidR="00BB00A4" w:rsidRPr="00BB00A4" w14:paraId="538F33B7" w14:textId="77777777" w:rsidTr="003073BF">
        <w:trPr>
          <w:trHeight w:hRule="exact" w:val="941"/>
        </w:trPr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86EA0" w14:textId="77777777" w:rsidR="00BB00A4" w:rsidRPr="00BB00A4" w:rsidRDefault="00BB00A4" w:rsidP="003073BF">
            <w:pPr>
              <w:spacing w:after="129" w:line="266" w:lineRule="exact"/>
              <w:ind w:right="324"/>
              <w:textAlignment w:val="baseline"/>
              <w:rPr>
                <w:rFonts w:asciiTheme="minorHAnsi" w:eastAsia="Verdana" w:hAnsiTheme="minorHAnsi" w:cstheme="minorHAnsi"/>
                <w:b/>
                <w:bCs/>
                <w:spacing w:val="-2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b/>
                <w:bCs/>
                <w:spacing w:val="-2"/>
                <w:szCs w:val="24"/>
              </w:rPr>
              <w:t>GENERAL MEETINGS (meetings of members)</w:t>
            </w:r>
          </w:p>
        </w:tc>
        <w:tc>
          <w:tcPr>
            <w:tcW w:w="5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8EB9B" w14:textId="77777777" w:rsidR="00BB00A4" w:rsidRPr="00BB00A4" w:rsidRDefault="00BB00A4" w:rsidP="003073BF">
            <w:pPr>
              <w:spacing w:after="398" w:line="264" w:lineRule="exact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general, notice, special/ordinary resolutions, procedure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38055" w14:textId="77777777" w:rsidR="00BB00A4" w:rsidRPr="00BB00A4" w:rsidRDefault="00BB00A4" w:rsidP="003073BF">
            <w:pPr>
              <w:spacing w:after="666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articles 41-71</w:t>
            </w:r>
          </w:p>
        </w:tc>
      </w:tr>
      <w:tr w:rsidR="00BB00A4" w:rsidRPr="00BB00A4" w14:paraId="766BF0E0" w14:textId="77777777" w:rsidTr="003073BF">
        <w:trPr>
          <w:trHeight w:hRule="exact" w:val="2107"/>
        </w:trPr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BFD09E" w14:textId="77777777" w:rsidR="00BB00A4" w:rsidRPr="00BB00A4" w:rsidRDefault="00BB00A4" w:rsidP="003073BF">
            <w:pPr>
              <w:spacing w:after="1832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b/>
                <w:bCs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b/>
                <w:bCs/>
                <w:szCs w:val="24"/>
              </w:rPr>
              <w:t>DIRECTORS</w:t>
            </w:r>
          </w:p>
        </w:tc>
        <w:tc>
          <w:tcPr>
            <w:tcW w:w="5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30EC5" w14:textId="77777777" w:rsidR="00BB00A4" w:rsidRPr="00BB00A4" w:rsidRDefault="00BB00A4" w:rsidP="003073BF">
            <w:pPr>
              <w:spacing w:line="259" w:lineRule="exact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Categories, maximum/minimum</w:t>
            </w:r>
          </w:p>
          <w:p w14:paraId="744A7F71" w14:textId="77777777" w:rsidR="00BB00A4" w:rsidRPr="00BB00A4" w:rsidRDefault="00BB00A4" w:rsidP="003073BF">
            <w:pPr>
              <w:tabs>
                <w:tab w:val="left" w:pos="1080"/>
              </w:tabs>
              <w:spacing w:before="7" w:after="225" w:line="266" w:lineRule="exact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number,</w:t>
            </w:r>
            <w:r w:rsidRPr="00BB00A4">
              <w:rPr>
                <w:rFonts w:asciiTheme="minorHAnsi" w:eastAsia="Verdana" w:hAnsiTheme="minorHAnsi" w:cstheme="minorHAnsi"/>
                <w:szCs w:val="24"/>
              </w:rPr>
              <w:tab/>
              <w:t>eligibility, election/ retiral/re-election (Member Directors), appointment/re-appointment (Co-opted Directors), termination of office, register, office bearers, powers, personal interests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8171F" w14:textId="77777777" w:rsidR="00BB00A4" w:rsidRPr="00BB00A4" w:rsidRDefault="00BB00A4" w:rsidP="003073BF">
            <w:pPr>
              <w:spacing w:after="1832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articles 72-98</w:t>
            </w:r>
          </w:p>
        </w:tc>
      </w:tr>
      <w:tr w:rsidR="00BB00A4" w:rsidRPr="00BB00A4" w14:paraId="2EEE67E2" w14:textId="77777777" w:rsidTr="003073BF">
        <w:trPr>
          <w:trHeight w:hRule="exact" w:val="672"/>
        </w:trPr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4C1CE" w14:textId="77777777" w:rsidR="00BB00A4" w:rsidRPr="00BB00A4" w:rsidRDefault="00BB00A4" w:rsidP="003073BF">
            <w:pPr>
              <w:spacing w:after="133" w:line="264" w:lineRule="exact"/>
              <w:textAlignment w:val="baseline"/>
              <w:rPr>
                <w:rFonts w:asciiTheme="minorHAnsi" w:eastAsia="Verdana" w:hAnsiTheme="minorHAnsi" w:cstheme="minorHAnsi"/>
                <w:b/>
                <w:bCs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b/>
                <w:bCs/>
                <w:szCs w:val="24"/>
              </w:rPr>
              <w:t xml:space="preserve">DIRECTORS’ </w:t>
            </w:r>
            <w:r w:rsidRPr="00BB00A4">
              <w:rPr>
                <w:rFonts w:asciiTheme="minorHAnsi" w:eastAsia="Verdana" w:hAnsiTheme="minorHAnsi" w:cstheme="minorHAnsi"/>
                <w:b/>
                <w:bCs/>
                <w:szCs w:val="24"/>
              </w:rPr>
              <w:br/>
              <w:t>MEETINGS</w:t>
            </w:r>
          </w:p>
        </w:tc>
        <w:tc>
          <w:tcPr>
            <w:tcW w:w="5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BBC34" w14:textId="77777777" w:rsidR="00BB00A4" w:rsidRPr="00BB00A4" w:rsidRDefault="00BB00A4" w:rsidP="003073BF">
            <w:pPr>
              <w:spacing w:after="393" w:line="259" w:lineRule="exact"/>
              <w:ind w:left="9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 xml:space="preserve">procedure, conduct of directors, </w:t>
            </w:r>
            <w:r w:rsidRPr="00BB00A4">
              <w:rPr>
                <w:rFonts w:asciiTheme="minorHAnsi" w:eastAsia="Verdana" w:hAnsiTheme="minorHAnsi" w:cstheme="minorHAnsi"/>
                <w:color w:val="FF0000"/>
                <w:szCs w:val="24"/>
              </w:rPr>
              <w:t>committees, delegation to sub committees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FCB7D" w14:textId="77777777" w:rsidR="00BB00A4" w:rsidRPr="00BB00A4" w:rsidRDefault="00BB00A4" w:rsidP="003073BF">
            <w:pPr>
              <w:spacing w:after="397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articles 99-</w:t>
            </w:r>
            <w:r w:rsidRPr="00BB00A4">
              <w:rPr>
                <w:rFonts w:asciiTheme="minorHAnsi" w:eastAsia="Verdana" w:hAnsiTheme="minorHAnsi" w:cstheme="minorHAnsi"/>
                <w:strike/>
                <w:color w:val="FF0000"/>
                <w:szCs w:val="24"/>
              </w:rPr>
              <w:t>115</w:t>
            </w:r>
            <w:r w:rsidRPr="00BB00A4">
              <w:rPr>
                <w:rFonts w:asciiTheme="minorHAnsi" w:eastAsia="Verdana" w:hAnsiTheme="minorHAnsi" w:cstheme="minorHAnsi"/>
                <w:color w:val="FF0000"/>
                <w:szCs w:val="24"/>
              </w:rPr>
              <w:t xml:space="preserve"> 118</w:t>
            </w:r>
          </w:p>
        </w:tc>
      </w:tr>
      <w:tr w:rsidR="00BB00A4" w:rsidRPr="00BB00A4" w14:paraId="456941A0" w14:textId="77777777" w:rsidTr="003073BF">
        <w:trPr>
          <w:trHeight w:hRule="exact" w:val="1205"/>
        </w:trPr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40B0B" w14:textId="77777777" w:rsidR="00BB00A4" w:rsidRPr="00BB00A4" w:rsidRDefault="00BB00A4" w:rsidP="003073BF">
            <w:pPr>
              <w:spacing w:after="925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b/>
                <w:bCs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b/>
                <w:bCs/>
                <w:szCs w:val="24"/>
              </w:rPr>
              <w:t>ADMINISTRATION</w:t>
            </w:r>
          </w:p>
        </w:tc>
        <w:tc>
          <w:tcPr>
            <w:tcW w:w="5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8527B" w14:textId="77777777" w:rsidR="00BB00A4" w:rsidRPr="00BB00A4" w:rsidRDefault="00BB00A4" w:rsidP="003073BF">
            <w:pPr>
              <w:spacing w:after="123" w:line="267" w:lineRule="exact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committees, operation of bank accounts, secretary, minutes, accounting records and annual accounts, notices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0F5FA" w14:textId="77777777" w:rsidR="00BB00A4" w:rsidRPr="00BB00A4" w:rsidRDefault="00BB00A4" w:rsidP="003073BF">
            <w:pPr>
              <w:spacing w:after="656" w:line="269" w:lineRule="exact"/>
              <w:ind w:left="36" w:right="396"/>
              <w:textAlignment w:val="baseline"/>
              <w:rPr>
                <w:rFonts w:asciiTheme="minorHAnsi" w:eastAsia="Verdana" w:hAnsiTheme="minorHAnsi" w:cstheme="minorHAnsi"/>
                <w:spacing w:val="-4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pacing w:val="-4"/>
                <w:szCs w:val="24"/>
              </w:rPr>
              <w:t xml:space="preserve">Articles </w:t>
            </w:r>
            <w:r w:rsidRPr="00BB00A4">
              <w:rPr>
                <w:rFonts w:asciiTheme="minorHAnsi" w:eastAsia="Verdana" w:hAnsiTheme="minorHAnsi" w:cstheme="minorHAnsi"/>
                <w:strike/>
                <w:color w:val="FF0000"/>
                <w:spacing w:val="-4"/>
                <w:szCs w:val="24"/>
              </w:rPr>
              <w:t>116</w:t>
            </w:r>
            <w:r w:rsidRPr="00BB00A4">
              <w:rPr>
                <w:rFonts w:asciiTheme="minorHAnsi" w:eastAsia="Verdana" w:hAnsiTheme="minorHAnsi" w:cstheme="minorHAnsi"/>
                <w:color w:val="FF0000"/>
                <w:spacing w:val="-4"/>
                <w:szCs w:val="24"/>
              </w:rPr>
              <w:t xml:space="preserve"> 119</w:t>
            </w:r>
            <w:r w:rsidRPr="00BB00A4">
              <w:rPr>
                <w:rFonts w:asciiTheme="minorHAnsi" w:eastAsia="Verdana" w:hAnsiTheme="minorHAnsi" w:cstheme="minorHAnsi"/>
                <w:spacing w:val="-4"/>
                <w:szCs w:val="24"/>
              </w:rPr>
              <w:t>-133</w:t>
            </w:r>
          </w:p>
        </w:tc>
      </w:tr>
      <w:tr w:rsidR="00BB00A4" w:rsidRPr="00BB00A4" w14:paraId="0259CF95" w14:textId="77777777" w:rsidTr="003073BF">
        <w:trPr>
          <w:trHeight w:hRule="exact" w:val="926"/>
        </w:trPr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76DBD" w14:textId="77777777" w:rsidR="00BB00A4" w:rsidRPr="00BB00A4" w:rsidRDefault="00BB00A4" w:rsidP="003073BF">
            <w:pPr>
              <w:spacing w:after="656" w:line="255" w:lineRule="exact"/>
              <w:ind w:left="14"/>
              <w:textAlignment w:val="baseline"/>
              <w:rPr>
                <w:rFonts w:asciiTheme="minorHAnsi" w:eastAsia="Verdana" w:hAnsiTheme="minorHAnsi" w:cstheme="minorHAnsi"/>
                <w:b/>
                <w:bCs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b/>
                <w:bCs/>
                <w:szCs w:val="24"/>
              </w:rPr>
              <w:t>MISCELLANEOUS</w:t>
            </w:r>
          </w:p>
        </w:tc>
        <w:tc>
          <w:tcPr>
            <w:tcW w:w="5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9EAF7" w14:textId="77777777" w:rsidR="00BB00A4" w:rsidRPr="00BB00A4" w:rsidRDefault="00BB00A4" w:rsidP="003073BF">
            <w:pPr>
              <w:spacing w:after="652" w:line="259" w:lineRule="exact"/>
              <w:ind w:left="9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winding-up, indemnity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7D095" w14:textId="77777777" w:rsidR="00BB00A4" w:rsidRPr="00BB00A4" w:rsidRDefault="00BB00A4" w:rsidP="003073BF">
            <w:pPr>
              <w:spacing w:after="387" w:line="269" w:lineRule="exact"/>
              <w:ind w:left="36"/>
              <w:textAlignment w:val="baseline"/>
              <w:rPr>
                <w:rFonts w:asciiTheme="minorHAnsi" w:eastAsia="Verdana" w:hAnsiTheme="minorHAnsi" w:cstheme="minorHAnsi"/>
                <w:szCs w:val="24"/>
              </w:rPr>
            </w:pPr>
            <w:r w:rsidRPr="00BB00A4">
              <w:rPr>
                <w:rFonts w:asciiTheme="minorHAnsi" w:eastAsia="Verdana" w:hAnsiTheme="minorHAnsi" w:cstheme="minorHAnsi"/>
                <w:szCs w:val="24"/>
              </w:rPr>
              <w:t>articles 134-138</w:t>
            </w:r>
          </w:p>
        </w:tc>
      </w:tr>
    </w:tbl>
    <w:p w14:paraId="609278CD" w14:textId="77777777" w:rsidR="00BB00A4" w:rsidRPr="00BB00A4" w:rsidRDefault="00BB00A4">
      <w:pPr>
        <w:spacing w:after="160"/>
        <w:ind w:left="-4"/>
        <w:rPr>
          <w:rFonts w:asciiTheme="minorHAnsi" w:hAnsiTheme="minorHAnsi" w:cstheme="minorHAnsi"/>
          <w:b/>
          <w:szCs w:val="24"/>
        </w:rPr>
      </w:pPr>
    </w:p>
    <w:p w14:paraId="149C5BF8" w14:textId="0D8AF04F" w:rsidR="00C706F0" w:rsidRPr="00BB00A4" w:rsidRDefault="00BB00A4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>Membership Subscription. Article 31 &amp; 32</w:t>
      </w:r>
    </w:p>
    <w:p w14:paraId="4D80F170" w14:textId="08D2CDD3" w:rsidR="00C706F0" w:rsidRPr="00BB00A4" w:rsidRDefault="00BB00A4">
      <w:pPr>
        <w:ind w:left="-5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szCs w:val="24"/>
        </w:rPr>
        <w:t xml:space="preserve">31. Members will require to pay a one-off lifetime membership subscription of £5, with their membership taking effect from the date of payment. </w:t>
      </w:r>
      <w:proofErr w:type="gramStart"/>
      <w:r w:rsidRPr="00BB00A4">
        <w:rPr>
          <w:rFonts w:asciiTheme="minorHAnsi" w:hAnsiTheme="minorHAnsi" w:cstheme="minorHAnsi"/>
          <w:szCs w:val="24"/>
        </w:rPr>
        <w:t>In order to</w:t>
      </w:r>
      <w:proofErr w:type="gramEnd"/>
      <w:r w:rsidRPr="00BB00A4">
        <w:rPr>
          <w:rFonts w:asciiTheme="minorHAnsi" w:hAnsiTheme="minorHAnsi" w:cstheme="minorHAnsi"/>
          <w:szCs w:val="24"/>
        </w:rPr>
        <w:t xml:space="preserve"> regulate the position for members who paid their subscription at the AGM held on 15th January 2019; they are considered to have paid their lifetime subscription as now described under this amended article.</w:t>
      </w:r>
    </w:p>
    <w:p w14:paraId="022E262D" w14:textId="75271015" w:rsidR="00BB00A4" w:rsidRPr="00BB00A4" w:rsidRDefault="00BB00A4" w:rsidP="00BB00A4">
      <w:pPr>
        <w:pStyle w:val="NormalWeb"/>
        <w:spacing w:before="120" w:beforeAutospacing="0"/>
        <w:ind w:right="74"/>
        <w:jc w:val="both"/>
        <w:rPr>
          <w:rFonts w:asciiTheme="minorHAnsi" w:hAnsiTheme="minorHAnsi" w:cstheme="minorHAnsi"/>
          <w:color w:val="000000" w:themeColor="text1"/>
        </w:rPr>
      </w:pPr>
      <w:r w:rsidRPr="00BB00A4">
        <w:rPr>
          <w:rFonts w:asciiTheme="minorHAnsi" w:hAnsiTheme="minorHAnsi" w:cstheme="minorHAnsi"/>
          <w:color w:val="000000" w:themeColor="text1"/>
        </w:rPr>
        <w:t xml:space="preserve">32. If the membership subscription payable by any member remains outstanding more than four weeks after the date on which it fell due (and providing he/she/it has been given at least one written reminder) the directors may, by resolution to that effect, expel him/her/it </w:t>
      </w:r>
      <w:r w:rsidRPr="00BB00A4">
        <w:rPr>
          <w:rFonts w:asciiTheme="minorHAnsi" w:hAnsiTheme="minorHAnsi" w:cstheme="minorHAnsi"/>
          <w:color w:val="000000" w:themeColor="text1"/>
        </w:rPr>
        <w:lastRenderedPageBreak/>
        <w:t>from membership; for the avoidance of doubt, it will be open to an individual or organisation expelled from membership under this article to reapply for membership should they so wish.</w:t>
      </w:r>
    </w:p>
    <w:p w14:paraId="66BB464D" w14:textId="77777777" w:rsidR="00C706F0" w:rsidRPr="00BB00A4" w:rsidRDefault="00CC79E2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PROPOSED CHANGE TO: - </w:t>
      </w:r>
    </w:p>
    <w:p w14:paraId="6AAE81A1" w14:textId="47F7673C" w:rsidR="00BB00A4" w:rsidRPr="00BB00A4" w:rsidRDefault="00BB00A4" w:rsidP="00BB00A4">
      <w:pPr>
        <w:pStyle w:val="NormalWeb"/>
        <w:spacing w:before="120" w:beforeAutospacing="0"/>
        <w:ind w:right="74"/>
        <w:jc w:val="both"/>
        <w:rPr>
          <w:rFonts w:asciiTheme="minorHAnsi" w:hAnsiTheme="minorHAnsi" w:cstheme="minorHAnsi"/>
          <w:color w:val="FF0000"/>
        </w:rPr>
      </w:pPr>
      <w:r w:rsidRPr="00BB00A4">
        <w:rPr>
          <w:rFonts w:asciiTheme="minorHAnsi" w:hAnsiTheme="minorHAnsi" w:cstheme="minorHAnsi"/>
        </w:rPr>
        <w:t xml:space="preserve">31. Membership </w:t>
      </w:r>
      <w:r w:rsidR="00CC79E2">
        <w:rPr>
          <w:rFonts w:asciiTheme="minorHAnsi" w:hAnsiTheme="minorHAnsi" w:cstheme="minorHAnsi"/>
        </w:rPr>
        <w:t>fees will be set annually by the Directors.</w:t>
      </w:r>
      <w:r w:rsidRPr="00BB00A4">
        <w:rPr>
          <w:rFonts w:asciiTheme="minorHAnsi" w:hAnsiTheme="minorHAnsi" w:cstheme="minorHAnsi"/>
          <w:color w:val="FF0000"/>
        </w:rPr>
        <w:t xml:space="preserve"> </w:t>
      </w:r>
    </w:p>
    <w:p w14:paraId="3984F867" w14:textId="3B1F6F6B" w:rsidR="00C706F0" w:rsidRPr="00BB00A4" w:rsidRDefault="00BB00A4" w:rsidP="00CC79E2">
      <w:pPr>
        <w:pStyle w:val="NormalWeb"/>
        <w:spacing w:before="120" w:beforeAutospacing="0"/>
        <w:ind w:right="74"/>
        <w:rPr>
          <w:rFonts w:asciiTheme="minorHAnsi" w:hAnsiTheme="minorHAnsi" w:cstheme="minorHAnsi"/>
          <w:color w:val="FF0000"/>
        </w:rPr>
      </w:pPr>
      <w:r w:rsidRPr="00BB00A4">
        <w:rPr>
          <w:rFonts w:asciiTheme="minorHAnsi" w:hAnsiTheme="minorHAnsi" w:cstheme="minorHAnsi"/>
        </w:rPr>
        <w:t xml:space="preserve">32. All existing members as at the AGM on 20 December 2023 </w:t>
      </w:r>
      <w:r w:rsidR="00CC79E2">
        <w:rPr>
          <w:rFonts w:asciiTheme="minorHAnsi" w:hAnsiTheme="minorHAnsi" w:cstheme="minorHAnsi"/>
        </w:rPr>
        <w:t xml:space="preserve">who previously paid £5 for life membership </w:t>
      </w:r>
      <w:r w:rsidRPr="00BB00A4">
        <w:rPr>
          <w:rFonts w:asciiTheme="minorHAnsi" w:hAnsiTheme="minorHAnsi" w:cstheme="minorHAnsi"/>
        </w:rPr>
        <w:t xml:space="preserve">will </w:t>
      </w:r>
      <w:r w:rsidR="00CC79E2">
        <w:rPr>
          <w:rFonts w:asciiTheme="minorHAnsi" w:hAnsiTheme="minorHAnsi" w:cstheme="minorHAnsi"/>
        </w:rPr>
        <w:t>remain members for life or until they opt out.</w:t>
      </w:r>
    </w:p>
    <w:p w14:paraId="3D3A47A2" w14:textId="77777777" w:rsidR="00C706F0" w:rsidRPr="00BB00A4" w:rsidRDefault="00CC79E2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REASON FOR THE CHANGE. </w:t>
      </w:r>
    </w:p>
    <w:p w14:paraId="7FDADEE0" w14:textId="051D529F" w:rsidR="00C706F0" w:rsidRPr="00BB00A4" w:rsidRDefault="00137154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Provide the flexibility for Directors to set membership fees without amending the Articles.</w:t>
      </w:r>
    </w:p>
    <w:p w14:paraId="0AA52D17" w14:textId="1D6998A1" w:rsidR="00C706F0" w:rsidRPr="00BB00A4" w:rsidRDefault="00BB00A4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DIRECTOR’s MEETINGS Article 101. </w:t>
      </w:r>
    </w:p>
    <w:p w14:paraId="7860C251" w14:textId="44EFE252" w:rsidR="00BB00A4" w:rsidRPr="00BB00A4" w:rsidRDefault="00BB00A4" w:rsidP="00BB00A4">
      <w:pPr>
        <w:spacing w:before="120" w:line="242" w:lineRule="exact"/>
        <w:ind w:left="0" w:right="72"/>
        <w:jc w:val="both"/>
        <w:textAlignment w:val="baseline"/>
        <w:rPr>
          <w:rFonts w:asciiTheme="minorHAnsi" w:eastAsia="Verdana" w:hAnsiTheme="minorHAnsi" w:cstheme="minorHAnsi"/>
          <w:szCs w:val="24"/>
        </w:rPr>
      </w:pPr>
      <w:r w:rsidRPr="00BB00A4">
        <w:rPr>
          <w:rFonts w:asciiTheme="minorHAnsi" w:eastAsia="Verdana" w:hAnsiTheme="minorHAnsi" w:cstheme="minorHAnsi"/>
          <w:szCs w:val="24"/>
        </w:rPr>
        <w:t>101</w:t>
      </w:r>
      <w:r w:rsidRPr="00BB00A4">
        <w:rPr>
          <w:rFonts w:asciiTheme="minorHAnsi" w:eastAsia="Verdana" w:hAnsiTheme="minorHAnsi" w:cstheme="minorHAnsi"/>
          <w:szCs w:val="24"/>
        </w:rPr>
        <w:tab/>
        <w:t>The chairperson of the meeting shall not be entitled to have a casting vote if he/she is a Co-opted Director. Replace with</w:t>
      </w:r>
    </w:p>
    <w:p w14:paraId="330B8A86" w14:textId="77777777" w:rsidR="00BB00A4" w:rsidRPr="00BB00A4" w:rsidRDefault="00BB00A4" w:rsidP="00BB00A4">
      <w:pPr>
        <w:pStyle w:val="ListParagraph"/>
        <w:spacing w:before="120" w:line="242" w:lineRule="exact"/>
        <w:ind w:left="0" w:right="72"/>
        <w:jc w:val="both"/>
        <w:textAlignment w:val="baseline"/>
        <w:rPr>
          <w:rFonts w:asciiTheme="minorHAnsi" w:eastAsia="Verdana" w:hAnsiTheme="minorHAnsi" w:cstheme="minorHAnsi"/>
          <w:color w:val="000000" w:themeColor="text1"/>
          <w:sz w:val="24"/>
          <w:szCs w:val="24"/>
        </w:rPr>
      </w:pPr>
      <w:r w:rsidRPr="00BB00A4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>A chairperson who is not an Ordinary Member shall not be entitled to vote.</w:t>
      </w:r>
    </w:p>
    <w:p w14:paraId="77626E19" w14:textId="77777777" w:rsidR="00BB00A4" w:rsidRPr="00BB00A4" w:rsidRDefault="00BB00A4" w:rsidP="00BB00A4">
      <w:pPr>
        <w:pStyle w:val="ListParagraph"/>
        <w:spacing w:before="120" w:line="242" w:lineRule="exact"/>
        <w:ind w:left="426" w:right="72"/>
        <w:jc w:val="both"/>
        <w:textAlignment w:val="baseline"/>
        <w:rPr>
          <w:rFonts w:asciiTheme="minorHAnsi" w:eastAsia="Verdana" w:hAnsiTheme="minorHAnsi" w:cstheme="minorHAnsi"/>
          <w:color w:val="000000" w:themeColor="text1"/>
          <w:sz w:val="24"/>
          <w:szCs w:val="24"/>
        </w:rPr>
      </w:pPr>
    </w:p>
    <w:p w14:paraId="7E597F24" w14:textId="77777777" w:rsidR="00C706F0" w:rsidRPr="00BB00A4" w:rsidRDefault="00CC79E2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PROPOSED CHANGE TO: - </w:t>
      </w:r>
    </w:p>
    <w:p w14:paraId="4D95CA14" w14:textId="17660F3C" w:rsidR="00BB00A4" w:rsidRPr="00BB00A4" w:rsidRDefault="00BB00A4" w:rsidP="00BB00A4">
      <w:pPr>
        <w:spacing w:before="120" w:line="242" w:lineRule="exact"/>
        <w:ind w:left="0" w:right="72"/>
        <w:jc w:val="both"/>
        <w:textAlignment w:val="baseline"/>
        <w:rPr>
          <w:rFonts w:asciiTheme="minorHAnsi" w:eastAsia="Verdana" w:hAnsiTheme="minorHAnsi" w:cstheme="minorHAnsi"/>
          <w:color w:val="000000" w:themeColor="text1"/>
          <w:szCs w:val="24"/>
        </w:rPr>
      </w:pPr>
      <w:r w:rsidRPr="00BB00A4">
        <w:rPr>
          <w:rFonts w:asciiTheme="minorHAnsi" w:eastAsia="Verdana" w:hAnsiTheme="minorHAnsi" w:cstheme="minorHAnsi"/>
          <w:color w:val="000000" w:themeColor="text1"/>
          <w:szCs w:val="24"/>
        </w:rPr>
        <w:t>101</w:t>
      </w:r>
      <w:r w:rsidRPr="00BB00A4">
        <w:rPr>
          <w:rFonts w:asciiTheme="minorHAnsi" w:eastAsia="Verdana" w:hAnsiTheme="minorHAnsi" w:cstheme="minorHAnsi"/>
          <w:color w:val="000000" w:themeColor="text1"/>
          <w:szCs w:val="24"/>
        </w:rPr>
        <w:tab/>
        <w:t>A chairperson who is not an Ordinary Member shall not be entitled to vote.</w:t>
      </w:r>
    </w:p>
    <w:p w14:paraId="42AD4321" w14:textId="77777777" w:rsidR="00C706F0" w:rsidRPr="00BB00A4" w:rsidRDefault="00CC79E2">
      <w:pPr>
        <w:spacing w:after="160"/>
        <w:ind w:left="-4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b/>
          <w:szCs w:val="24"/>
        </w:rPr>
        <w:t xml:space="preserve">REASONS FOR CHANGE. </w:t>
      </w:r>
    </w:p>
    <w:p w14:paraId="0BF519FD" w14:textId="6C3AA05D" w:rsidR="00C706F0" w:rsidRPr="00BB00A4" w:rsidRDefault="00BB00A4">
      <w:pPr>
        <w:ind w:left="-5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szCs w:val="24"/>
        </w:rPr>
        <w:t>Correct error.</w:t>
      </w:r>
    </w:p>
    <w:p w14:paraId="54F2BFF2" w14:textId="77777777" w:rsidR="00C706F0" w:rsidRPr="00BB00A4" w:rsidRDefault="00CC79E2">
      <w:pPr>
        <w:spacing w:after="0"/>
        <w:ind w:left="1" w:firstLine="0"/>
        <w:jc w:val="both"/>
        <w:rPr>
          <w:rFonts w:asciiTheme="minorHAnsi" w:hAnsiTheme="minorHAnsi" w:cstheme="minorHAnsi"/>
          <w:szCs w:val="24"/>
        </w:rPr>
      </w:pPr>
      <w:r w:rsidRPr="00BB00A4">
        <w:rPr>
          <w:rFonts w:asciiTheme="minorHAnsi" w:hAnsiTheme="minorHAnsi" w:cstheme="minorHAnsi"/>
          <w:szCs w:val="24"/>
        </w:rPr>
        <w:t xml:space="preserve"> </w:t>
      </w:r>
    </w:p>
    <w:sectPr w:rsidR="00C706F0" w:rsidRPr="00BB00A4">
      <w:pgSz w:w="11908" w:h="16836"/>
      <w:pgMar w:top="1483" w:right="1506" w:bottom="1639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1144"/>
    <w:multiLevelType w:val="hybridMultilevel"/>
    <w:tmpl w:val="0C64A694"/>
    <w:lvl w:ilvl="0" w:tplc="285E05C6">
      <w:start w:val="88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663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0E8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6F5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E7B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C4B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A3B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E1B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6EE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D7821"/>
    <w:multiLevelType w:val="multilevel"/>
    <w:tmpl w:val="F24E40A0"/>
    <w:lvl w:ilvl="0">
      <w:start w:val="1"/>
      <w:numFmt w:val="decimal"/>
      <w:lvlText w:val="%1"/>
      <w:lvlJc w:val="left"/>
      <w:pPr>
        <w:ind w:left="501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center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483771"/>
    <w:multiLevelType w:val="hybridMultilevel"/>
    <w:tmpl w:val="6DDC02D6"/>
    <w:lvl w:ilvl="0" w:tplc="2F92593E">
      <w:start w:val="88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8A1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1671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8E4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C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C9A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C47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1E67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0D7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5114804">
    <w:abstractNumId w:val="2"/>
  </w:num>
  <w:num w:numId="2" w16cid:durableId="1069424457">
    <w:abstractNumId w:val="0"/>
  </w:num>
  <w:num w:numId="3" w16cid:durableId="51218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F0"/>
    <w:rsid w:val="00137154"/>
    <w:rsid w:val="00334D67"/>
    <w:rsid w:val="007E055A"/>
    <w:rsid w:val="00A91949"/>
    <w:rsid w:val="00BB00A4"/>
    <w:rsid w:val="00C706F0"/>
    <w:rsid w:val="00CC79E2"/>
    <w:rsid w:val="00D60891"/>
    <w:rsid w:val="00D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C463"/>
  <w15:docId w15:val="{04D03E93-3E8B-443C-B04B-3FCB621E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7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0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B00A4"/>
    <w:pPr>
      <w:spacing w:after="0" w:line="240" w:lineRule="auto"/>
      <w:ind w:left="720" w:firstLine="0"/>
      <w:contextualSpacing/>
    </w:pPr>
    <w:rPr>
      <w:rFonts w:ascii="Times New Roman" w:eastAsia="PMingLiU" w:hAnsi="Times New Roman" w:cs="Times New Roman"/>
      <w:color w:val="auto"/>
      <w:kern w:val="0"/>
      <w:sz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nichol</dc:creator>
  <cp:keywords/>
  <cp:lastModifiedBy>Steve Johnson</cp:lastModifiedBy>
  <cp:revision>3</cp:revision>
  <dcterms:created xsi:type="dcterms:W3CDTF">2023-12-12T18:40:00Z</dcterms:created>
  <dcterms:modified xsi:type="dcterms:W3CDTF">2023-12-12T18:43:00Z</dcterms:modified>
</cp:coreProperties>
</file>